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06C02B5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AE2FC6">
        <w:t>2</w:t>
      </w:r>
      <w:r w:rsidR="00421E11" w:rsidRPr="00BA3657">
        <w:t>-e</w:t>
      </w:r>
      <w:r w:rsidR="00421E11" w:rsidRPr="00BA3657">
        <w:tab/>
      </w:r>
      <w:r w:rsidR="004B60B9" w:rsidRPr="00BA3657">
        <w:rPr>
          <w:szCs w:val="24"/>
        </w:rPr>
        <w:t>R4-</w:t>
      </w:r>
      <w:r w:rsidR="00216E7B" w:rsidRPr="00BA3657">
        <w:rPr>
          <w:szCs w:val="24"/>
        </w:rPr>
        <w:t>2</w:t>
      </w:r>
      <w:r w:rsidR="00AE2FC6">
        <w:rPr>
          <w:szCs w:val="24"/>
        </w:rPr>
        <w:t>20</w:t>
      </w:r>
      <w:r w:rsidR="007E4F63">
        <w:rPr>
          <w:szCs w:val="24"/>
        </w:rPr>
        <w:t>5085</w:t>
      </w:r>
    </w:p>
    <w:p w14:paraId="500197F1" w14:textId="072060DB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>,</w:t>
      </w:r>
      <w:r w:rsidR="00AE2FC6">
        <w:t xml:space="preserve"> 21 Februa</w:t>
      </w:r>
      <w:r w:rsidR="00124333">
        <w:t>ry</w:t>
      </w:r>
      <w:r w:rsidR="00615DC1" w:rsidRPr="00BA3657">
        <w:t xml:space="preserve"> </w:t>
      </w:r>
      <w:r w:rsidR="00526BF8" w:rsidRPr="00BA3657">
        <w:t xml:space="preserve">– </w:t>
      </w:r>
      <w:r w:rsidR="00124333">
        <w:t>3</w:t>
      </w:r>
      <w:r w:rsidR="005D1E89" w:rsidRPr="00BA3657">
        <w:t xml:space="preserve"> </w:t>
      </w:r>
      <w:r w:rsidR="00124333">
        <w:t>March</w:t>
      </w:r>
      <w:r w:rsidR="005D1E89" w:rsidRPr="00BA3657">
        <w:t xml:space="preserve"> 20</w:t>
      </w:r>
      <w:r w:rsidR="00216E7B" w:rsidRPr="00BA3657">
        <w:t>2</w:t>
      </w:r>
      <w:r w:rsidR="00124333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4D0D2D70" w:rsidR="008A22CF" w:rsidRPr="00754A7B" w:rsidRDefault="008A22CF" w:rsidP="008A22CF">
      <w:pPr>
        <w:pStyle w:val="3GPPHeader"/>
        <w:rPr>
          <w:sz w:val="22"/>
        </w:rPr>
      </w:pPr>
      <w:r w:rsidRPr="00754A7B">
        <w:rPr>
          <w:sz w:val="22"/>
        </w:rPr>
        <w:t>Agenda Item:</w:t>
      </w:r>
      <w:r w:rsidRPr="00754A7B">
        <w:rPr>
          <w:sz w:val="22"/>
        </w:rPr>
        <w:tab/>
      </w:r>
      <w:r w:rsidR="00124333">
        <w:rPr>
          <w:sz w:val="22"/>
        </w:rPr>
        <w:t>10.6.5.1</w:t>
      </w:r>
    </w:p>
    <w:p w14:paraId="57D8FDDC" w14:textId="2B2BAFE1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292A3F8C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777B41">
        <w:rPr>
          <w:sz w:val="22"/>
        </w:rPr>
        <w:t>Update</w:t>
      </w:r>
      <w:r w:rsidR="00124C2C">
        <w:rPr>
          <w:sz w:val="22"/>
        </w:rPr>
        <w:t>d</w:t>
      </w:r>
      <w:r w:rsidR="00777B41">
        <w:rPr>
          <w:sz w:val="22"/>
        </w:rPr>
        <w:t xml:space="preserve"> w</w:t>
      </w:r>
      <w:r w:rsidR="009C1444" w:rsidRPr="009C1444">
        <w:rPr>
          <w:sz w:val="22"/>
        </w:rPr>
        <w:t>ork plan for UE demodulation requirements for DL 1024QAM for NR FR1</w:t>
      </w:r>
    </w:p>
    <w:p w14:paraId="385E2C9B" w14:textId="13AA24A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2172D9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270E2866" w:rsidR="00CD628F" w:rsidRPr="00BA3657" w:rsidRDefault="00444E7B" w:rsidP="00C70FC2">
      <w:r>
        <w:t xml:space="preserve">This </w:t>
      </w:r>
      <w:r w:rsidR="00777B41">
        <w:t xml:space="preserve">work plan is the update of </w:t>
      </w:r>
      <w:r w:rsidR="00777B41">
        <w:fldChar w:fldCharType="begin"/>
      </w:r>
      <w:r w:rsidR="00777B41">
        <w:instrText xml:space="preserve"> REF _Ref95755672 \r \h </w:instrText>
      </w:r>
      <w:r w:rsidR="00777B41">
        <w:fldChar w:fldCharType="separate"/>
      </w:r>
      <w:r w:rsidR="00AD428E">
        <w:t>[1]</w:t>
      </w:r>
      <w:r w:rsidR="00777B41">
        <w:fldChar w:fldCharType="end"/>
      </w:r>
      <w:r w:rsidR="00777B41">
        <w:t xml:space="preserve"> based on the way forward agreed in RAN4#101-bis-e</w:t>
      </w:r>
      <w:r>
        <w:t xml:space="preserve"> </w:t>
      </w:r>
      <w:r w:rsidR="00007DD4">
        <w:fldChar w:fldCharType="begin"/>
      </w:r>
      <w:r w:rsidR="00007DD4">
        <w:instrText xml:space="preserve"> REF _Ref95755681 \r \h </w:instrText>
      </w:r>
      <w:r w:rsidR="00007DD4">
        <w:fldChar w:fldCharType="separate"/>
      </w:r>
      <w:r w:rsidR="00AD428E">
        <w:t>[2]</w:t>
      </w:r>
      <w:r w:rsidR="00007DD4">
        <w:fldChar w:fldCharType="end"/>
      </w:r>
      <w:r w:rsidR="00007DD4">
        <w:t>.</w:t>
      </w:r>
    </w:p>
    <w:p w14:paraId="148CA7CC" w14:textId="07823495" w:rsidR="00F2625D" w:rsidRDefault="009B01F8" w:rsidP="00F2625D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A23132">
        <w:rPr>
          <w:lang w:val="en-US"/>
        </w:rPr>
        <w:t>Work plan</w:t>
      </w:r>
      <w:r w:rsidR="00EC1AA1">
        <w:rPr>
          <w:lang w:val="en-US"/>
        </w:rPr>
        <w:t xml:space="preserve"> for UE </w:t>
      </w:r>
      <w:r w:rsidR="000B1CF9">
        <w:rPr>
          <w:lang w:val="en-US"/>
        </w:rPr>
        <w:t xml:space="preserve">demodulation </w:t>
      </w:r>
      <w:r w:rsidR="00EC1AA1">
        <w:rPr>
          <w:lang w:val="en-US"/>
        </w:rPr>
        <w:t>performance part</w:t>
      </w:r>
    </w:p>
    <w:p w14:paraId="1A3FDE65" w14:textId="14B65F9C" w:rsidR="00EC1AA1" w:rsidRDefault="00144B91" w:rsidP="00EC1AA1">
      <w:r w:rsidRPr="00144B91">
        <w:t>The work plan for UE demodulation requirement part is proposed as follows:</w:t>
      </w:r>
    </w:p>
    <w:p w14:paraId="337EA28A" w14:textId="36FE0E41" w:rsidR="00144B91" w:rsidRDefault="00AD7B7D" w:rsidP="00A566B6">
      <w:pPr>
        <w:pStyle w:val="ListParagraph"/>
        <w:numPr>
          <w:ilvl w:val="0"/>
          <w:numId w:val="13"/>
        </w:numPr>
        <w:jc w:val="left"/>
      </w:pPr>
      <w:r>
        <w:t>RAN4#101-e</w:t>
      </w:r>
      <w:r w:rsidR="00AA1173">
        <w:t xml:space="preserve">, </w:t>
      </w:r>
      <w:r w:rsidR="00CD77CF">
        <w:t>November</w:t>
      </w:r>
      <w:r w:rsidR="00AA1173">
        <w:t xml:space="preserve"> 2021 (This meeting)</w:t>
      </w:r>
    </w:p>
    <w:p w14:paraId="0FFDF4F3" w14:textId="48F58F68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work plan for UE demodulation requirement part.</w:t>
      </w:r>
    </w:p>
    <w:p w14:paraId="1CAAC640" w14:textId="59D4EE1D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scope of UE demodulation and CSI reporting requirements.</w:t>
      </w:r>
    </w:p>
    <w:p w14:paraId="4B75B445" w14:textId="5EBEA58E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initial simulation assumption for UE demodulation and CSI reporting requirements.</w:t>
      </w:r>
    </w:p>
    <w:p w14:paraId="2226021A" w14:textId="35D35317" w:rsidR="00AA1173" w:rsidRDefault="00AA1173" w:rsidP="00A566B6">
      <w:pPr>
        <w:pStyle w:val="ListParagraph"/>
        <w:numPr>
          <w:ilvl w:val="0"/>
          <w:numId w:val="13"/>
        </w:numPr>
        <w:jc w:val="left"/>
      </w:pPr>
      <w:r>
        <w:t>RAN4</w:t>
      </w:r>
      <w:r w:rsidR="00CD77CF">
        <w:t>#101bis-e, January 2022</w:t>
      </w:r>
    </w:p>
    <w:p w14:paraId="733118B2" w14:textId="2C60BB85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Collect the </w:t>
      </w:r>
      <w:r w:rsidR="0047655C">
        <w:t xml:space="preserve">initial </w:t>
      </w:r>
      <w:r>
        <w:t>simulation results for alignment.</w:t>
      </w:r>
    </w:p>
    <w:p w14:paraId="07277C58" w14:textId="1D5A9A3F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Narrow down the simulation assumption</w:t>
      </w:r>
      <w:r w:rsidR="0047655C">
        <w:t xml:space="preserve">, </w:t>
      </w:r>
      <w:r>
        <w:t>if necessary</w:t>
      </w:r>
      <w:r w:rsidR="0047655C">
        <w:t>,</w:t>
      </w:r>
      <w:r>
        <w:t xml:space="preserve"> based on the initial simulation results.</w:t>
      </w:r>
    </w:p>
    <w:p w14:paraId="473A42A4" w14:textId="30E5BA1B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D</w:t>
      </w:r>
      <w:r w:rsidR="00C12C6E">
        <w:t>ecide</w:t>
      </w:r>
      <w:r>
        <w:t xml:space="preserve"> the CR work split</w:t>
      </w:r>
      <w:r w:rsidR="0047655C">
        <w:t>.</w:t>
      </w:r>
    </w:p>
    <w:p w14:paraId="1F67A05C" w14:textId="79619DA2" w:rsidR="00CD77CF" w:rsidRDefault="00CD77CF" w:rsidP="00A566B6">
      <w:pPr>
        <w:pStyle w:val="ListParagraph"/>
        <w:numPr>
          <w:ilvl w:val="0"/>
          <w:numId w:val="13"/>
        </w:numPr>
        <w:jc w:val="left"/>
      </w:pPr>
      <w:r>
        <w:t>RAN4#102-e, February 2022</w:t>
      </w:r>
    </w:p>
    <w:p w14:paraId="7B38D46A" w14:textId="69098F6B" w:rsidR="00CD77CF" w:rsidRPr="00CD77CF" w:rsidRDefault="00CD77CF" w:rsidP="00A566B6">
      <w:pPr>
        <w:pStyle w:val="ListParagraph"/>
        <w:numPr>
          <w:ilvl w:val="1"/>
          <w:numId w:val="13"/>
        </w:numPr>
        <w:jc w:val="left"/>
      </w:pPr>
      <w:r w:rsidRPr="00CD77CF">
        <w:t>Collect the simulation results.</w:t>
      </w:r>
    </w:p>
    <w:p w14:paraId="6D2CA921" w14:textId="0B540C4B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Finalize the </w:t>
      </w:r>
      <w:r w:rsidR="0047655C">
        <w:t xml:space="preserve">test </w:t>
      </w:r>
      <w:r>
        <w:t>parameters for UE demodulation and CSI reporting requirements.</w:t>
      </w:r>
    </w:p>
    <w:p w14:paraId="661CC9FA" w14:textId="079A9CE6" w:rsidR="00CD77CF" w:rsidRDefault="00CD77CF" w:rsidP="00A566B6">
      <w:pPr>
        <w:pStyle w:val="ListParagraph"/>
        <w:numPr>
          <w:ilvl w:val="0"/>
          <w:numId w:val="13"/>
        </w:numPr>
        <w:jc w:val="left"/>
      </w:pPr>
      <w:r>
        <w:t>RAN4#103, May 2022</w:t>
      </w:r>
    </w:p>
    <w:p w14:paraId="6D816082" w14:textId="5C768E9D" w:rsidR="004346E3" w:rsidRPr="004346E3" w:rsidRDefault="004346E3" w:rsidP="00A566B6">
      <w:pPr>
        <w:pStyle w:val="ListParagraph"/>
        <w:numPr>
          <w:ilvl w:val="1"/>
          <w:numId w:val="13"/>
        </w:numPr>
        <w:jc w:val="left"/>
      </w:pPr>
      <w:r w:rsidRPr="004346E3">
        <w:t>Collect the simulation results.</w:t>
      </w:r>
    </w:p>
    <w:p w14:paraId="26922008" w14:textId="223704F5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demodulation and CSI reporting requirements based on the simulation results with impairments.</w:t>
      </w:r>
    </w:p>
    <w:p w14:paraId="5181DE4C" w14:textId="3BB2D9C4" w:rsidR="00CD77CF" w:rsidRPr="00EC1AA1" w:rsidRDefault="00DA2E0A" w:rsidP="00DA2E0A">
      <w:pPr>
        <w:pStyle w:val="ListParagraph"/>
        <w:numPr>
          <w:ilvl w:val="1"/>
          <w:numId w:val="13"/>
        </w:numPr>
        <w:jc w:val="left"/>
      </w:pPr>
      <w:r>
        <w:t>Endorse the draft CRs for TS38.101-4.</w:t>
      </w:r>
      <w:r w:rsidR="00CD77CF">
        <w:t xml:space="preserve"> </w:t>
      </w:r>
    </w:p>
    <w:p w14:paraId="041D5056" w14:textId="08713869" w:rsidR="00D6348B" w:rsidRDefault="005E0908" w:rsidP="005E0908">
      <w:pPr>
        <w:pStyle w:val="Heading1"/>
      </w:pPr>
      <w:r>
        <w:lastRenderedPageBreak/>
        <w:t>3</w:t>
      </w:r>
      <w:r>
        <w:tab/>
      </w:r>
      <w:r w:rsidR="0020347B">
        <w:t xml:space="preserve">Work split for </w:t>
      </w:r>
      <w:r w:rsidR="007E564F">
        <w:t xml:space="preserve">draft </w:t>
      </w:r>
      <w:r w:rsidR="0020347B">
        <w:t>CR to TS38.101-4</w:t>
      </w:r>
    </w:p>
    <w:p w14:paraId="7A8DC4B2" w14:textId="16610F54" w:rsidR="001A149A" w:rsidRPr="001A149A" w:rsidRDefault="001A149A" w:rsidP="001A149A">
      <w:pPr>
        <w:rPr>
          <w:lang w:val="en-GB"/>
        </w:rPr>
      </w:pPr>
      <w:r>
        <w:rPr>
          <w:lang w:val="en-GB"/>
        </w:rPr>
        <w:t xml:space="preserve">The table below is the proposal for work split for draft CR to TS38.101-1 for UE demodulation and CSI reporting requirements for WI </w:t>
      </w:r>
      <w:r w:rsidRPr="001A149A">
        <w:rPr>
          <w:lang w:val="en-GB"/>
        </w:rPr>
        <w:t>NR_DL1024QAM_FR1-Perf</w:t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070"/>
        <w:gridCol w:w="2863"/>
      </w:tblGrid>
      <w:tr w:rsidR="0020347B" w:rsidRPr="00805891" w14:paraId="4DEC8CB3" w14:textId="77777777" w:rsidTr="00BB6FEC">
        <w:trPr>
          <w:trHeight w:val="58"/>
        </w:trPr>
        <w:tc>
          <w:tcPr>
            <w:tcW w:w="1696" w:type="dxa"/>
          </w:tcPr>
          <w:p w14:paraId="5CF15DDC" w14:textId="77777777" w:rsidR="0020347B" w:rsidRPr="00805891" w:rsidRDefault="0020347B" w:rsidP="00BB6FEC">
            <w:pPr>
              <w:pStyle w:val="TAH"/>
              <w:rPr>
                <w:lang w:val="en-GB"/>
              </w:rPr>
            </w:pPr>
            <w:r w:rsidRPr="00805891">
              <w:rPr>
                <w:lang w:val="en-GB"/>
              </w:rPr>
              <w:t>Clause</w:t>
            </w:r>
          </w:p>
        </w:tc>
        <w:tc>
          <w:tcPr>
            <w:tcW w:w="5070" w:type="dxa"/>
            <w:vAlign w:val="center"/>
          </w:tcPr>
          <w:p w14:paraId="32AAB91C" w14:textId="77777777" w:rsidR="0020347B" w:rsidRPr="00805891" w:rsidRDefault="0020347B" w:rsidP="00BB6FEC">
            <w:pPr>
              <w:pStyle w:val="TAH"/>
              <w:rPr>
                <w:lang w:val="en-GB"/>
              </w:rPr>
            </w:pPr>
            <w:r w:rsidRPr="00805891">
              <w:rPr>
                <w:lang w:val="en-GB"/>
              </w:rPr>
              <w:t>CR</w:t>
            </w:r>
          </w:p>
        </w:tc>
        <w:tc>
          <w:tcPr>
            <w:tcW w:w="2863" w:type="dxa"/>
            <w:vAlign w:val="center"/>
          </w:tcPr>
          <w:p w14:paraId="5A8C2822" w14:textId="77777777" w:rsidR="0020347B" w:rsidRPr="00805891" w:rsidRDefault="0020347B" w:rsidP="00BB6FEC">
            <w:pPr>
              <w:pStyle w:val="TAH"/>
              <w:rPr>
                <w:lang w:val="en-GB"/>
              </w:rPr>
            </w:pPr>
            <w:r w:rsidRPr="00805891">
              <w:rPr>
                <w:lang w:val="en-GB"/>
              </w:rPr>
              <w:t>Volunteer company</w:t>
            </w:r>
          </w:p>
        </w:tc>
      </w:tr>
      <w:tr w:rsidR="0020347B" w:rsidRPr="00805891" w14:paraId="6287AD4D" w14:textId="77777777" w:rsidTr="00BB6FEC">
        <w:trPr>
          <w:trHeight w:val="58"/>
        </w:trPr>
        <w:tc>
          <w:tcPr>
            <w:tcW w:w="1696" w:type="dxa"/>
            <w:vAlign w:val="center"/>
          </w:tcPr>
          <w:p w14:paraId="06DE7B88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5.1.1.x</w:t>
            </w:r>
          </w:p>
          <w:p w14:paraId="2035D558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6.1.1.x</w:t>
            </w:r>
          </w:p>
          <w:p w14:paraId="4C4648A4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[B.2.1.1] (*)</w:t>
            </w:r>
          </w:p>
        </w:tc>
        <w:tc>
          <w:tcPr>
            <w:tcW w:w="5070" w:type="dxa"/>
            <w:vAlign w:val="center"/>
          </w:tcPr>
          <w:p w14:paraId="3F5D93D8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Applicability of demodulation requirements </w:t>
            </w:r>
          </w:p>
          <w:p w14:paraId="03FD9E43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Applicability of CSI reporting requirements</w:t>
            </w:r>
          </w:p>
          <w:p w14:paraId="33AD2D2F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[Delay profiles for FR1]</w:t>
            </w:r>
          </w:p>
        </w:tc>
        <w:tc>
          <w:tcPr>
            <w:tcW w:w="2863" w:type="dxa"/>
            <w:vAlign w:val="center"/>
          </w:tcPr>
          <w:p w14:paraId="15AB2A6F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Qualcomm</w:t>
            </w:r>
          </w:p>
        </w:tc>
      </w:tr>
      <w:tr w:rsidR="0020347B" w:rsidRPr="00805891" w14:paraId="28FAC128" w14:textId="77777777" w:rsidTr="00BB6FEC">
        <w:trPr>
          <w:trHeight w:val="58"/>
        </w:trPr>
        <w:tc>
          <w:tcPr>
            <w:tcW w:w="1696" w:type="dxa"/>
            <w:vAlign w:val="center"/>
          </w:tcPr>
          <w:p w14:paraId="0A106008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5.2.2.1.x</w:t>
            </w:r>
          </w:p>
          <w:p w14:paraId="3140CC74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5.2.3.1.x</w:t>
            </w:r>
          </w:p>
          <w:p w14:paraId="1DF044CD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A.3.2.1.x</w:t>
            </w:r>
          </w:p>
        </w:tc>
        <w:tc>
          <w:tcPr>
            <w:tcW w:w="5070" w:type="dxa"/>
            <w:vAlign w:val="center"/>
          </w:tcPr>
          <w:p w14:paraId="258C2AF7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PDSCH demodulation requirements for FDD (2Rx and 4Rx)</w:t>
            </w:r>
          </w:p>
          <w:p w14:paraId="0D590BF1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FRC for PDSCH FDD</w:t>
            </w:r>
          </w:p>
        </w:tc>
        <w:tc>
          <w:tcPr>
            <w:tcW w:w="2863" w:type="dxa"/>
            <w:vAlign w:val="center"/>
          </w:tcPr>
          <w:p w14:paraId="2C2BD799" w14:textId="77777777" w:rsidR="0020347B" w:rsidRPr="00805891" w:rsidRDefault="0020347B" w:rsidP="00BB6FEC">
            <w:pPr>
              <w:pStyle w:val="TAC"/>
              <w:jc w:val="left"/>
              <w:rPr>
                <w:rFonts w:eastAsia="PMingLiU"/>
                <w:lang w:val="en-GB"/>
              </w:rPr>
            </w:pPr>
            <w:r w:rsidRPr="00805891">
              <w:rPr>
                <w:rFonts w:hint="eastAsia"/>
                <w:lang w:val="en-GB"/>
              </w:rPr>
              <w:t>M</w:t>
            </w:r>
            <w:r w:rsidRPr="00805891">
              <w:rPr>
                <w:lang w:val="en-GB"/>
              </w:rPr>
              <w:t>ediaTek</w:t>
            </w:r>
          </w:p>
        </w:tc>
      </w:tr>
      <w:tr w:rsidR="0020347B" w:rsidRPr="00805891" w14:paraId="75342A68" w14:textId="77777777" w:rsidTr="00BB6FEC">
        <w:trPr>
          <w:trHeight w:val="58"/>
        </w:trPr>
        <w:tc>
          <w:tcPr>
            <w:tcW w:w="1696" w:type="dxa"/>
            <w:vAlign w:val="center"/>
          </w:tcPr>
          <w:p w14:paraId="36D0D454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5.2.2.2.x </w:t>
            </w:r>
          </w:p>
          <w:p w14:paraId="046E6838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5.2.3.2.x</w:t>
            </w:r>
          </w:p>
          <w:p w14:paraId="1AA0EDAF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A.3.2.2.x</w:t>
            </w:r>
          </w:p>
        </w:tc>
        <w:tc>
          <w:tcPr>
            <w:tcW w:w="5070" w:type="dxa"/>
            <w:vAlign w:val="center"/>
          </w:tcPr>
          <w:p w14:paraId="2ACB150A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PDSCH demodulation requirements for TDD (2Rx and 4Rx)</w:t>
            </w:r>
          </w:p>
          <w:p w14:paraId="4BF2D887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FRC for PDSCH TDD</w:t>
            </w:r>
          </w:p>
        </w:tc>
        <w:tc>
          <w:tcPr>
            <w:tcW w:w="2863" w:type="dxa"/>
            <w:vAlign w:val="center"/>
          </w:tcPr>
          <w:p w14:paraId="3E69A037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Apple</w:t>
            </w:r>
          </w:p>
        </w:tc>
      </w:tr>
      <w:tr w:rsidR="0020347B" w:rsidRPr="00805891" w14:paraId="4F109474" w14:textId="77777777" w:rsidTr="00BB6FEC">
        <w:trPr>
          <w:trHeight w:val="58"/>
        </w:trPr>
        <w:tc>
          <w:tcPr>
            <w:tcW w:w="1696" w:type="dxa"/>
            <w:vAlign w:val="center"/>
          </w:tcPr>
          <w:p w14:paraId="6D4BBC1C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6.2.2.1.x</w:t>
            </w:r>
          </w:p>
          <w:p w14:paraId="0D7C6068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6.2.2.2.x</w:t>
            </w:r>
          </w:p>
          <w:p w14:paraId="778B2E59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A.4</w:t>
            </w:r>
          </w:p>
        </w:tc>
        <w:tc>
          <w:tcPr>
            <w:tcW w:w="5070" w:type="dxa"/>
            <w:vAlign w:val="center"/>
          </w:tcPr>
          <w:p w14:paraId="317E11DB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CQI reporting definition under AWGN conditions for FDD (2Rx and 4Rx)</w:t>
            </w:r>
          </w:p>
          <w:p w14:paraId="4C7FCC69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CSI reference measurement channels</w:t>
            </w:r>
          </w:p>
        </w:tc>
        <w:tc>
          <w:tcPr>
            <w:tcW w:w="2863" w:type="dxa"/>
            <w:vAlign w:val="center"/>
          </w:tcPr>
          <w:p w14:paraId="5DD1A76B" w14:textId="77777777" w:rsidR="0020347B" w:rsidRPr="00805891" w:rsidRDefault="0020347B" w:rsidP="00BB6FEC">
            <w:pPr>
              <w:pStyle w:val="TAC"/>
              <w:jc w:val="left"/>
              <w:rPr>
                <w:rFonts w:eastAsia="DengXian"/>
                <w:lang w:val="en-GB"/>
              </w:rPr>
            </w:pPr>
            <w:r w:rsidRPr="00805891">
              <w:rPr>
                <w:rFonts w:eastAsia="DengXian" w:hint="eastAsia"/>
                <w:lang w:val="en-GB"/>
              </w:rPr>
              <w:t>H</w:t>
            </w:r>
            <w:r w:rsidRPr="00805891">
              <w:rPr>
                <w:rFonts w:eastAsia="DengXian"/>
                <w:lang w:val="en-GB"/>
              </w:rPr>
              <w:t>uawei</w:t>
            </w:r>
          </w:p>
        </w:tc>
      </w:tr>
      <w:tr w:rsidR="0020347B" w:rsidRPr="00805891" w14:paraId="5689C26A" w14:textId="77777777" w:rsidTr="00BB6FEC">
        <w:trPr>
          <w:trHeight w:val="58"/>
        </w:trPr>
        <w:tc>
          <w:tcPr>
            <w:tcW w:w="1696" w:type="dxa"/>
            <w:vAlign w:val="center"/>
          </w:tcPr>
          <w:p w14:paraId="4A1C0526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6.2.3.1.x</w:t>
            </w:r>
          </w:p>
          <w:p w14:paraId="2FFE68EF" w14:textId="77777777" w:rsidR="0020347B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6.2.3.2.x</w:t>
            </w:r>
          </w:p>
          <w:p w14:paraId="4E0C6267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5.5A</w:t>
            </w:r>
          </w:p>
        </w:tc>
        <w:tc>
          <w:tcPr>
            <w:tcW w:w="5070" w:type="dxa"/>
            <w:vAlign w:val="center"/>
          </w:tcPr>
          <w:p w14:paraId="4C27F17E" w14:textId="77777777" w:rsidR="0020347B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CQI reporting definition under AWGN conditions for TDD (2Rx and 4Rx)</w:t>
            </w:r>
          </w:p>
          <w:p w14:paraId="33685414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Sustained downlink data rate provided by lower layers</w:t>
            </w:r>
          </w:p>
        </w:tc>
        <w:tc>
          <w:tcPr>
            <w:tcW w:w="2863" w:type="dxa"/>
            <w:vAlign w:val="center"/>
          </w:tcPr>
          <w:p w14:paraId="446E4CEC" w14:textId="77777777" w:rsidR="0020347B" w:rsidRPr="00805891" w:rsidRDefault="0020347B" w:rsidP="00BB6FEC">
            <w:pPr>
              <w:pStyle w:val="TAC"/>
              <w:jc w:val="left"/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</w:tbl>
    <w:p w14:paraId="7DF43DB0" w14:textId="77777777" w:rsidR="0020347B" w:rsidRPr="003E4048" w:rsidRDefault="0020347B" w:rsidP="0020347B">
      <w:pPr>
        <w:pStyle w:val="TAC"/>
        <w:jc w:val="both"/>
        <w:rPr>
          <w:lang w:val="en-GB"/>
        </w:rPr>
      </w:pPr>
      <w:r w:rsidRPr="00805891">
        <w:rPr>
          <w:lang w:val="en-GB"/>
        </w:rPr>
        <w:t>(*) If TDLD30 is agreed</w:t>
      </w:r>
    </w:p>
    <w:p w14:paraId="2BAA6A48" w14:textId="77777777" w:rsidR="005E0908" w:rsidRPr="005E0908" w:rsidRDefault="005E0908" w:rsidP="005E0908">
      <w:pPr>
        <w:rPr>
          <w:lang w:val="en-GB"/>
        </w:rPr>
      </w:pP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3" w:name="_Ref16604413"/>
    </w:p>
    <w:p w14:paraId="0FE5E95F" w14:textId="771E69B8" w:rsidR="00777B41" w:rsidRDefault="00777B41" w:rsidP="00777B4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95755672"/>
      <w:bookmarkEnd w:id="3"/>
      <w:r w:rsidRPr="00777B41">
        <w:t>R4-2118688</w:t>
      </w:r>
      <w:r>
        <w:t>, “</w:t>
      </w:r>
      <w:r w:rsidRPr="00777B41">
        <w:t>Work plan for UE demodulation requirements for WI DL 1024QAM for NR FR1</w:t>
      </w:r>
      <w:r>
        <w:t>”, Ericsson.</w:t>
      </w:r>
      <w:bookmarkEnd w:id="4"/>
    </w:p>
    <w:p w14:paraId="69B5F371" w14:textId="31951752" w:rsidR="00AB0AD0" w:rsidRDefault="00777B41" w:rsidP="00A2313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95755681"/>
      <w:r>
        <w:t>R4-2203044, “</w:t>
      </w:r>
      <w:r w:rsidRPr="00777B41">
        <w:t>Way forward for NR DL1024QAM demodulation and CQI reporting requirements</w:t>
      </w:r>
      <w:r>
        <w:t>”, Ericsson.</w:t>
      </w:r>
      <w:bookmarkEnd w:id="5"/>
      <w:r>
        <w:t xml:space="preserve"> </w:t>
      </w:r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4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DD4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CF9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333"/>
    <w:rsid w:val="00124785"/>
    <w:rsid w:val="00124876"/>
    <w:rsid w:val="001248AD"/>
    <w:rsid w:val="00124C2C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149A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47B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2D9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908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B41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63"/>
    <w:rsid w:val="007E4FC8"/>
    <w:rsid w:val="007E564F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28E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2FC6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0A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F6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4F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4F6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2022-02-14T13:23:00Z</dcterms:modified>
</cp:coreProperties>
</file>